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C7" w:rsidRDefault="00733CBD">
      <w:r>
        <w:rPr>
          <w:noProof/>
          <w:lang w:eastAsia="cs-CZ"/>
        </w:rPr>
        <w:drawing>
          <wp:inline distT="0" distB="0" distL="0" distR="0">
            <wp:extent cx="5760720" cy="5553961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5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CBD" w:rsidRDefault="00733CBD"/>
    <w:tbl>
      <w:tblPr>
        <w:tblW w:w="1037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564"/>
        <w:gridCol w:w="2004"/>
        <w:gridCol w:w="1010"/>
        <w:gridCol w:w="2009"/>
        <w:gridCol w:w="3973"/>
      </w:tblGrid>
      <w:tr w:rsidR="00733CBD" w:rsidRPr="00F72DCB" w:rsidTr="00F757DA">
        <w:trPr>
          <w:jc w:val="center"/>
        </w:trPr>
        <w:tc>
          <w:tcPr>
            <w:tcW w:w="812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jc w:val="center"/>
              <w:rPr>
                <w:b/>
                <w:sz w:val="20"/>
              </w:rPr>
            </w:pPr>
            <w:r w:rsidRPr="00F72DCB">
              <w:rPr>
                <w:b/>
                <w:sz w:val="20"/>
              </w:rPr>
              <w:t>Z3</w:t>
            </w:r>
          </w:p>
        </w:tc>
        <w:tc>
          <w:tcPr>
            <w:tcW w:w="564" w:type="dxa"/>
            <w:shd w:val="clear" w:color="auto" w:fill="FFFFFF"/>
          </w:tcPr>
          <w:p w:rsidR="00733CBD" w:rsidRPr="00F72DCB" w:rsidRDefault="00733CBD" w:rsidP="00F757DA">
            <w:pPr>
              <w:pStyle w:val="Bezmezer"/>
              <w:jc w:val="center"/>
              <w:rPr>
                <w:sz w:val="20"/>
              </w:rPr>
            </w:pPr>
            <w:r w:rsidRPr="00F72DCB">
              <w:rPr>
                <w:sz w:val="20"/>
              </w:rPr>
              <w:t>BH</w:t>
            </w:r>
          </w:p>
        </w:tc>
        <w:tc>
          <w:tcPr>
            <w:tcW w:w="2004" w:type="dxa"/>
            <w:shd w:val="clear" w:color="auto" w:fill="FFFFFF"/>
          </w:tcPr>
          <w:p w:rsidR="00733CBD" w:rsidRPr="00F72DCB" w:rsidRDefault="00733CBD" w:rsidP="00F757DA">
            <w:pPr>
              <w:pStyle w:val="Bezmezer"/>
              <w:jc w:val="left"/>
              <w:rPr>
                <w:sz w:val="20"/>
              </w:rPr>
            </w:pPr>
            <w:r w:rsidRPr="00F72DCB">
              <w:rPr>
                <w:sz w:val="20"/>
              </w:rPr>
              <w:t>plochy bydlení v bytových domech</w:t>
            </w:r>
          </w:p>
        </w:tc>
        <w:tc>
          <w:tcPr>
            <w:tcW w:w="1010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rPr>
                <w:sz w:val="20"/>
              </w:rPr>
            </w:pPr>
            <w:r w:rsidRPr="00F72DCB">
              <w:rPr>
                <w:sz w:val="20"/>
              </w:rPr>
              <w:t>Boskovice</w:t>
            </w:r>
          </w:p>
        </w:tc>
        <w:tc>
          <w:tcPr>
            <w:tcW w:w="2009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jc w:val="left"/>
              <w:rPr>
                <w:sz w:val="20"/>
              </w:rPr>
            </w:pPr>
            <w:r w:rsidRPr="00F72DCB">
              <w:rPr>
                <w:sz w:val="20"/>
              </w:rPr>
              <w:t>Za nemocnicí</w:t>
            </w:r>
          </w:p>
        </w:tc>
        <w:tc>
          <w:tcPr>
            <w:tcW w:w="3973" w:type="dxa"/>
            <w:shd w:val="clear" w:color="auto" w:fill="auto"/>
          </w:tcPr>
          <w:p w:rsidR="00733CBD" w:rsidRPr="00F72DCB" w:rsidRDefault="00733CBD" w:rsidP="00F757DA">
            <w:pPr>
              <w:pStyle w:val="tabulka"/>
              <w:jc w:val="left"/>
              <w:rPr>
                <w:sz w:val="20"/>
              </w:rPr>
            </w:pPr>
            <w:r w:rsidRPr="00F72DCB">
              <w:rPr>
                <w:sz w:val="20"/>
              </w:rPr>
              <w:t xml:space="preserve">lokalita č. 2 (vč. lok. 16) dle </w:t>
            </w:r>
            <w:proofErr w:type="gramStart"/>
            <w:r w:rsidRPr="00F72DCB">
              <w:rPr>
                <w:sz w:val="20"/>
              </w:rPr>
              <w:t>ÚPO</w:t>
            </w:r>
            <w:proofErr w:type="gramEnd"/>
          </w:p>
          <w:p w:rsidR="00733CBD" w:rsidRPr="00F72DCB" w:rsidRDefault="00733CBD" w:rsidP="00F757DA">
            <w:pPr>
              <w:pStyle w:val="tabulka"/>
              <w:jc w:val="left"/>
              <w:rPr>
                <w:sz w:val="20"/>
                <w:u w:val="single"/>
              </w:rPr>
            </w:pPr>
            <w:r w:rsidRPr="00F72DCB">
              <w:rPr>
                <w:sz w:val="20"/>
                <w:u w:val="single"/>
              </w:rPr>
              <w:t>prostorové uspořádání, ochrana hodnot území, krajinného rázu</w:t>
            </w:r>
          </w:p>
          <w:p w:rsidR="00733CBD" w:rsidRPr="00F72DCB" w:rsidRDefault="00733CBD" w:rsidP="00F757DA">
            <w:pPr>
              <w:pStyle w:val="tabulka"/>
              <w:numPr>
                <w:ilvl w:val="0"/>
                <w:numId w:val="1"/>
              </w:numPr>
              <w:jc w:val="left"/>
              <w:rPr>
                <w:sz w:val="20"/>
              </w:rPr>
            </w:pPr>
            <w:r w:rsidRPr="00F72DCB">
              <w:rPr>
                <w:sz w:val="20"/>
              </w:rPr>
              <w:t>respektovat podmínky OP dráhy</w:t>
            </w:r>
          </w:p>
          <w:p w:rsidR="00733CBD" w:rsidRPr="00F72DCB" w:rsidRDefault="00733CBD" w:rsidP="00F757DA">
            <w:pPr>
              <w:pStyle w:val="tabulka"/>
              <w:numPr>
                <w:ilvl w:val="0"/>
                <w:numId w:val="1"/>
              </w:numPr>
              <w:jc w:val="left"/>
              <w:rPr>
                <w:sz w:val="20"/>
              </w:rPr>
            </w:pPr>
            <w:r w:rsidRPr="00F72DCB">
              <w:rPr>
                <w:sz w:val="20"/>
              </w:rPr>
              <w:t>respektovat podmínky vzletového koridoru heliportu</w:t>
            </w:r>
          </w:p>
          <w:p w:rsidR="00733CBD" w:rsidRPr="00F72DCB" w:rsidRDefault="00733CBD" w:rsidP="00F757DA">
            <w:pPr>
              <w:pStyle w:val="tabulka"/>
              <w:numPr>
                <w:ilvl w:val="0"/>
                <w:numId w:val="1"/>
              </w:numPr>
              <w:jc w:val="left"/>
              <w:rPr>
                <w:sz w:val="20"/>
              </w:rPr>
            </w:pPr>
            <w:r w:rsidRPr="00F72DCB">
              <w:rPr>
                <w:sz w:val="20"/>
              </w:rPr>
              <w:t>prověřit z hlediska hlukové zátěže</w:t>
            </w:r>
          </w:p>
          <w:p w:rsidR="00733CBD" w:rsidRPr="00F72DCB" w:rsidRDefault="00733CBD" w:rsidP="00F757DA">
            <w:pPr>
              <w:pStyle w:val="tabulka"/>
              <w:numPr>
                <w:ilvl w:val="0"/>
                <w:numId w:val="1"/>
              </w:numPr>
              <w:jc w:val="left"/>
              <w:rPr>
                <w:sz w:val="20"/>
              </w:rPr>
            </w:pPr>
            <w:r w:rsidRPr="00F72DCB">
              <w:rPr>
                <w:rFonts w:cs="Arial"/>
                <w:bCs/>
                <w:sz w:val="20"/>
              </w:rPr>
              <w:t xml:space="preserve">řešit střety s trasami vodovodu a podzemního vedení </w:t>
            </w:r>
            <w:proofErr w:type="spellStart"/>
            <w:r w:rsidRPr="00F72DCB">
              <w:rPr>
                <w:rFonts w:cs="Arial"/>
                <w:bCs/>
                <w:sz w:val="20"/>
              </w:rPr>
              <w:t>vn</w:t>
            </w:r>
            <w:proofErr w:type="spellEnd"/>
          </w:p>
          <w:p w:rsidR="00733CBD" w:rsidRPr="00F72DCB" w:rsidRDefault="00733CBD" w:rsidP="00F757DA">
            <w:pPr>
              <w:pStyle w:val="tabulka"/>
              <w:numPr>
                <w:ilvl w:val="0"/>
                <w:numId w:val="1"/>
              </w:numPr>
              <w:jc w:val="left"/>
              <w:rPr>
                <w:sz w:val="20"/>
              </w:rPr>
            </w:pPr>
            <w:r w:rsidRPr="00F72DCB">
              <w:rPr>
                <w:sz w:val="20"/>
              </w:rPr>
              <w:t>výšková regulace zástavby max. 4 NP</w:t>
            </w:r>
          </w:p>
        </w:tc>
      </w:tr>
      <w:tr w:rsidR="00733CBD" w:rsidRPr="00F72DCB" w:rsidTr="00F757DA">
        <w:trPr>
          <w:jc w:val="center"/>
        </w:trPr>
        <w:tc>
          <w:tcPr>
            <w:tcW w:w="812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jc w:val="center"/>
              <w:rPr>
                <w:b/>
                <w:sz w:val="20"/>
              </w:rPr>
            </w:pPr>
            <w:r w:rsidRPr="00F72DCB">
              <w:rPr>
                <w:b/>
                <w:sz w:val="20"/>
              </w:rPr>
              <w:t>Z3a</w:t>
            </w:r>
          </w:p>
        </w:tc>
        <w:tc>
          <w:tcPr>
            <w:tcW w:w="564" w:type="dxa"/>
            <w:shd w:val="clear" w:color="auto" w:fill="FFFFFF"/>
          </w:tcPr>
          <w:p w:rsidR="00733CBD" w:rsidRPr="00F72DCB" w:rsidRDefault="00733CBD" w:rsidP="00F757DA">
            <w:pPr>
              <w:pStyle w:val="Bezmezer"/>
              <w:jc w:val="center"/>
              <w:rPr>
                <w:sz w:val="20"/>
              </w:rPr>
            </w:pPr>
            <w:r w:rsidRPr="00F72DCB">
              <w:rPr>
                <w:sz w:val="20"/>
              </w:rPr>
              <w:t>PV</w:t>
            </w:r>
          </w:p>
        </w:tc>
        <w:tc>
          <w:tcPr>
            <w:tcW w:w="2004" w:type="dxa"/>
            <w:shd w:val="clear" w:color="auto" w:fill="FFFFFF"/>
          </w:tcPr>
          <w:p w:rsidR="00733CBD" w:rsidRPr="00F72DCB" w:rsidRDefault="00733CBD" w:rsidP="00F757DA">
            <w:pPr>
              <w:pStyle w:val="Bezmezer"/>
              <w:jc w:val="left"/>
              <w:rPr>
                <w:sz w:val="20"/>
                <w:szCs w:val="32"/>
              </w:rPr>
            </w:pPr>
            <w:r w:rsidRPr="00F72DCB">
              <w:rPr>
                <w:sz w:val="20"/>
                <w:szCs w:val="32"/>
              </w:rPr>
              <w:t>plochy veřejných prostranství</w:t>
            </w:r>
          </w:p>
        </w:tc>
        <w:tc>
          <w:tcPr>
            <w:tcW w:w="1010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rPr>
                <w:sz w:val="20"/>
              </w:rPr>
            </w:pPr>
            <w:r w:rsidRPr="00F72DCB">
              <w:rPr>
                <w:sz w:val="20"/>
              </w:rPr>
              <w:t>Boskovice</w:t>
            </w:r>
          </w:p>
        </w:tc>
        <w:tc>
          <w:tcPr>
            <w:tcW w:w="2009" w:type="dxa"/>
            <w:shd w:val="clear" w:color="auto" w:fill="auto"/>
          </w:tcPr>
          <w:p w:rsidR="00733CBD" w:rsidRPr="00F72DCB" w:rsidRDefault="00733CBD" w:rsidP="00F757DA">
            <w:pPr>
              <w:pStyle w:val="Bezmezer"/>
              <w:jc w:val="center"/>
              <w:rPr>
                <w:sz w:val="20"/>
              </w:rPr>
            </w:pPr>
            <w:r w:rsidRPr="00F72DCB">
              <w:rPr>
                <w:sz w:val="20"/>
              </w:rPr>
              <w:t>za nemocnicí</w:t>
            </w:r>
          </w:p>
        </w:tc>
        <w:tc>
          <w:tcPr>
            <w:tcW w:w="3973" w:type="dxa"/>
            <w:shd w:val="clear" w:color="auto" w:fill="auto"/>
          </w:tcPr>
          <w:p w:rsidR="00733CBD" w:rsidRPr="00F72DCB" w:rsidRDefault="00733CBD" w:rsidP="00F757DA">
            <w:pPr>
              <w:pStyle w:val="tabulka"/>
              <w:jc w:val="left"/>
              <w:rPr>
                <w:sz w:val="20"/>
              </w:rPr>
            </w:pPr>
            <w:r w:rsidRPr="00F72DCB">
              <w:rPr>
                <w:sz w:val="20"/>
              </w:rPr>
              <w:t>plocha s lokalitou Z3 souvisejícího veřejného prostranství</w:t>
            </w:r>
          </w:p>
          <w:p w:rsidR="00733CBD" w:rsidRPr="00F72DCB" w:rsidRDefault="00733CBD" w:rsidP="00733CBD">
            <w:pPr>
              <w:pStyle w:val="tabulka"/>
              <w:numPr>
                <w:ilvl w:val="0"/>
                <w:numId w:val="2"/>
              </w:numPr>
              <w:jc w:val="left"/>
              <w:rPr>
                <w:sz w:val="20"/>
              </w:rPr>
            </w:pPr>
            <w:r w:rsidRPr="00F72DCB">
              <w:rPr>
                <w:rFonts w:cs="Arial"/>
                <w:bCs/>
                <w:sz w:val="20"/>
                <w:szCs w:val="18"/>
              </w:rPr>
              <w:t>do plochy neumisťovat pozemní komunikace</w:t>
            </w:r>
          </w:p>
        </w:tc>
      </w:tr>
    </w:tbl>
    <w:p w:rsidR="00733CBD" w:rsidRDefault="00733CBD"/>
    <w:p w:rsidR="00733CBD" w:rsidRDefault="00733CBD"/>
    <w:p w:rsidR="00733CBD" w:rsidRDefault="00733CBD"/>
    <w:p w:rsidR="00733CBD" w:rsidRPr="00F72DCB" w:rsidRDefault="00733CBD" w:rsidP="00733CBD">
      <w:pPr>
        <w:pStyle w:val="Nadpis2"/>
      </w:pPr>
      <w:bookmarkStart w:id="0" w:name="_Toc317934817"/>
      <w:bookmarkStart w:id="1" w:name="_Toc318132507"/>
      <w:bookmarkStart w:id="2" w:name="_Toc410135273"/>
      <w:r w:rsidRPr="00F72DCB">
        <w:t>f)1.</w:t>
      </w:r>
      <w:r w:rsidRPr="00F72DCB">
        <w:tab/>
        <w:t>plochy bydlení</w:t>
      </w:r>
      <w:bookmarkEnd w:id="0"/>
      <w:bookmarkEnd w:id="1"/>
      <w:bookmarkEnd w:id="2"/>
    </w:p>
    <w:p w:rsidR="00733CBD" w:rsidRPr="00F72DCB" w:rsidRDefault="00733CBD" w:rsidP="00733CBD">
      <w:pPr>
        <w:pStyle w:val="Nadpis3"/>
      </w:pPr>
      <w:bookmarkStart w:id="3" w:name="_Toc410135274"/>
      <w:r w:rsidRPr="00F72DCB">
        <w:t>F)</w:t>
      </w:r>
      <w:proofErr w:type="gramStart"/>
      <w:r w:rsidRPr="00F72DCB">
        <w:t>1.1</w:t>
      </w:r>
      <w:proofErr w:type="gramEnd"/>
      <w:r w:rsidRPr="00F72DCB">
        <w:t>.</w:t>
      </w:r>
      <w:r w:rsidRPr="00F72DCB">
        <w:tab/>
        <w:t>plochy bydlení v bytových domech – BH</w:t>
      </w:r>
      <w:bookmarkEnd w:id="3"/>
    </w:p>
    <w:p w:rsidR="00733CBD" w:rsidRPr="00F72DCB" w:rsidRDefault="00733CBD" w:rsidP="00733CBD">
      <w:pPr>
        <w:pStyle w:val="Nadpis7"/>
      </w:pPr>
      <w:r w:rsidRPr="00F72DCB">
        <w:t>Hlavní využití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33CBD" w:rsidRPr="00F72DCB" w:rsidTr="00F757DA">
        <w:tc>
          <w:tcPr>
            <w:tcW w:w="9212" w:type="dxa"/>
            <w:shd w:val="clear" w:color="auto" w:fill="auto"/>
          </w:tcPr>
          <w:p w:rsidR="00733CBD" w:rsidRPr="00F72DCB" w:rsidRDefault="00733CBD" w:rsidP="00F757DA">
            <w:r w:rsidRPr="00F72DCB">
              <w:t>Plochy bytových domů s příměsí nerušících obslužných funkcí místního významu.</w:t>
            </w:r>
          </w:p>
        </w:tc>
      </w:tr>
    </w:tbl>
    <w:p w:rsidR="00733CBD" w:rsidRPr="00F72DCB" w:rsidRDefault="00733CBD" w:rsidP="00733CBD">
      <w:pPr>
        <w:pStyle w:val="Nadpis7"/>
      </w:pPr>
      <w:r w:rsidRPr="00F72DCB">
        <w:t>Přípustné využití</w:t>
      </w:r>
    </w:p>
    <w:p w:rsidR="00733CBD" w:rsidRPr="00F72DCB" w:rsidRDefault="00733CBD" w:rsidP="00733CBD">
      <w:pPr>
        <w:pStyle w:val="tabulka"/>
        <w:numPr>
          <w:ilvl w:val="0"/>
          <w:numId w:val="3"/>
        </w:numPr>
      </w:pPr>
      <w:r w:rsidRPr="00F72DCB">
        <w:t>pozemky bytových domů, pozemky rodinných domů</w:t>
      </w:r>
    </w:p>
    <w:p w:rsidR="00733CBD" w:rsidRPr="00F72DCB" w:rsidRDefault="00733CBD" w:rsidP="00733CBD">
      <w:pPr>
        <w:pStyle w:val="tabulka"/>
        <w:numPr>
          <w:ilvl w:val="0"/>
          <w:numId w:val="3"/>
        </w:numPr>
      </w:pPr>
      <w:r w:rsidRPr="00F72DCB">
        <w:t>pozemky související dopravní a technické infrastruktury a pozemky veřejných prostranství</w:t>
      </w:r>
    </w:p>
    <w:p w:rsidR="00733CBD" w:rsidRPr="00F72DCB" w:rsidRDefault="00733CBD" w:rsidP="00733CBD">
      <w:pPr>
        <w:pStyle w:val="tabulka"/>
        <w:numPr>
          <w:ilvl w:val="0"/>
          <w:numId w:val="3"/>
        </w:numPr>
      </w:pPr>
      <w:r w:rsidRPr="00F72DCB">
        <w:t>pozemky sídelní zeleně (např. veřejná zeleň, zeleň vnitrobloků, zeleň zahrad, zeleň izolační)</w:t>
      </w:r>
    </w:p>
    <w:p w:rsidR="00733CBD" w:rsidRPr="00F72DCB" w:rsidRDefault="00733CBD" w:rsidP="00733CBD">
      <w:pPr>
        <w:pStyle w:val="Nadpis7"/>
      </w:pPr>
      <w:r w:rsidRPr="00F72DCB">
        <w:t>Podmíněně přípustné využití</w:t>
      </w:r>
    </w:p>
    <w:p w:rsidR="00733CBD" w:rsidRPr="00F72DCB" w:rsidRDefault="00733CBD" w:rsidP="00733CBD">
      <w:pPr>
        <w:pStyle w:val="Bezmezer"/>
        <w:numPr>
          <w:ilvl w:val="0"/>
          <w:numId w:val="4"/>
        </w:numPr>
      </w:pPr>
      <w:r w:rsidRPr="00F72DCB">
        <w:t>pozemky staveb pro rodinnou rekreaci za podmínky, že nesnižují kvalitu prostředí a pohodu bydlení ve vymezené ploše</w:t>
      </w:r>
    </w:p>
    <w:p w:rsidR="00733CBD" w:rsidRPr="00F72DCB" w:rsidRDefault="00733CBD" w:rsidP="00733CBD">
      <w:pPr>
        <w:pStyle w:val="Bezmezer"/>
        <w:numPr>
          <w:ilvl w:val="0"/>
          <w:numId w:val="4"/>
        </w:numPr>
      </w:pPr>
      <w:r w:rsidRPr="00F72DCB">
        <w:t>pozemky souvisejícího občanského vybavení s výjimkou pozemků pro budovy obchodního prodeje o výměře větší než 1000 m</w:t>
      </w:r>
      <w:r w:rsidRPr="00F72DCB">
        <w:rPr>
          <w:vertAlign w:val="superscript"/>
        </w:rPr>
        <w:t>2</w:t>
      </w:r>
      <w:r w:rsidRPr="00F72DCB">
        <w:t>, za podmínky, že nesnižují kvalitu prostředí a pohodu bydlení ve vymezené ploše</w:t>
      </w:r>
    </w:p>
    <w:p w:rsidR="00733CBD" w:rsidRPr="00F72DCB" w:rsidRDefault="00733CBD" w:rsidP="00733CBD">
      <w:pPr>
        <w:pStyle w:val="Bezmezer"/>
        <w:numPr>
          <w:ilvl w:val="0"/>
          <w:numId w:val="4"/>
        </w:numPr>
      </w:pPr>
      <w:r w:rsidRPr="00F72DCB">
        <w:t>pozemky dalších staveb a zařízení, za podmínky, že nesnižují kvalitu prostředí a pohodu bydlení ve vymezené ploše, jsou slučitelné s bydlením a slouží zejména obyvatelům v takto vymezené ploše</w:t>
      </w:r>
    </w:p>
    <w:p w:rsidR="00733CBD" w:rsidRPr="00F72DCB" w:rsidRDefault="00733CBD" w:rsidP="00733CBD">
      <w:pPr>
        <w:pStyle w:val="tabulka"/>
        <w:numPr>
          <w:ilvl w:val="0"/>
          <w:numId w:val="4"/>
        </w:numPr>
      </w:pPr>
      <w:r w:rsidRPr="00F72DCB">
        <w:t>další stavby a zařízení doplňující funkci bydlení, (např. zázemí ke stavbě hlavní, veřejná a soukromá hřiště, dětská hřiště, bazény, přístřešky, altány) za podmínky, že nesnižují kvalitu prostředí a pohodu bydlení ve vymezené ploše, jsou slučitelné s bydlením a slouží zejména obyvatelům v takto vymezené ploše</w:t>
      </w:r>
    </w:p>
    <w:p w:rsidR="00733CBD" w:rsidRPr="00F72DCB" w:rsidRDefault="00733CBD" w:rsidP="00733CBD">
      <w:pPr>
        <w:pStyle w:val="tabulka"/>
        <w:numPr>
          <w:ilvl w:val="0"/>
          <w:numId w:val="4"/>
        </w:numPr>
      </w:pPr>
      <w:r w:rsidRPr="00F72DCB">
        <w:t>v případě návrhu plochy pro bydlení u stávajících dopravních staveb bude v dalších stupních projektové přípravy posouzena vhodnost navrhované plochy z hlediska hlukové zátěže ze stávající plochy dopravy; bude navržena podmíněná využitelnost plochy pro bydlení za předpokladu, že chráněné prostory budou u stávající plochy dopravy navrhovány až na základě hlukového vyhodnocení, které prokáže splnění hygienických limitů hluku pro chráněný venkovní prostor a chráněné venkovní prostory staveb, včetně doložení reálnosti provedení navržených protihlukových opatření</w:t>
      </w:r>
    </w:p>
    <w:p w:rsidR="00733CBD" w:rsidRPr="00F72DCB" w:rsidRDefault="00733CBD" w:rsidP="00733CBD">
      <w:pPr>
        <w:pStyle w:val="Bezmezer"/>
        <w:numPr>
          <w:ilvl w:val="0"/>
          <w:numId w:val="4"/>
        </w:numPr>
      </w:pPr>
      <w:r w:rsidRPr="00F72DCB">
        <w:t>v případě návrhů plochy pro bydlení u stávající výrobní zóny bude v dalších stupních projektové přípravy posouzena vhodnost umístění navrhované plochy z hlediska předpokládané hlukové zátěže ze stávající plochy výroby; bude navržena podmíněná využitelnost plochy pro bydlení za předpokladu, že chráněné prostory budou u stávající funkční plochy pro výrobu navrhovány až na základě hlukového vyhodnocení prokazujícího, že celková hluková zátěž z funkční plochy pro výrobu nepřekročí hodnoty hygienických limitů hluku stanovených pro chráněný venkovní prostor a chráněné venkovní prostory staveb.</w:t>
      </w:r>
    </w:p>
    <w:p w:rsidR="00733CBD" w:rsidRPr="00F72DCB" w:rsidRDefault="00733CBD" w:rsidP="00733CBD">
      <w:pPr>
        <w:pStyle w:val="Nadpis7"/>
      </w:pPr>
      <w:r w:rsidRPr="00F72DCB">
        <w:t>Nepřípustné využití</w:t>
      </w:r>
    </w:p>
    <w:p w:rsidR="00733CBD" w:rsidRPr="00F72DCB" w:rsidRDefault="00733CBD" w:rsidP="00733CBD">
      <w:pPr>
        <w:pStyle w:val="tabulka"/>
        <w:numPr>
          <w:ilvl w:val="0"/>
          <w:numId w:val="5"/>
        </w:numPr>
      </w:pPr>
      <w:r w:rsidRPr="00F72DCB">
        <w:t>umísťovat uvnitř vnitrobloků samostatné objekty pro bydlení</w:t>
      </w:r>
    </w:p>
    <w:p w:rsidR="00733CBD" w:rsidRPr="00F72DCB" w:rsidRDefault="00733CBD" w:rsidP="00733CBD">
      <w:pPr>
        <w:pStyle w:val="Bezmezer"/>
        <w:numPr>
          <w:ilvl w:val="0"/>
          <w:numId w:val="5"/>
        </w:numPr>
        <w:rPr>
          <w:b/>
          <w:i/>
        </w:rPr>
      </w:pPr>
      <w:r w:rsidRPr="00F72DCB">
        <w:t>činnosti, děje a zařízení, které nesouvisí s hlavním a přípustným využitím a narušují kvalitu prostředí nebo takové důsledky vyvolávají druhotně</w:t>
      </w:r>
    </w:p>
    <w:p w:rsidR="00733CBD" w:rsidRPr="00F72DCB" w:rsidRDefault="00733CBD" w:rsidP="00733CBD">
      <w:pPr>
        <w:pStyle w:val="Nadpis2"/>
        <w:ind w:left="708" w:hanging="708"/>
      </w:pPr>
      <w:bookmarkStart w:id="4" w:name="_Toc345940468"/>
      <w:bookmarkStart w:id="5" w:name="_Toc410135324"/>
      <w:r w:rsidRPr="00F72DCB">
        <w:t>F)16.</w:t>
      </w:r>
      <w:r w:rsidRPr="00F72DCB">
        <w:tab/>
        <w:t>STANOVENÍ PODMÍNEK PROSTOROVÉHO USPOŘÁDÁNÍ, VČETNĚ ZÁKLADNÍCH PODMÍNEK OCHRANY KRAJINNÉHO RÁZU</w:t>
      </w:r>
      <w:bookmarkEnd w:id="4"/>
      <w:bookmarkEnd w:id="5"/>
    </w:p>
    <w:p w:rsidR="00733CBD" w:rsidRPr="00F72DCB" w:rsidRDefault="00733CBD" w:rsidP="00733CBD">
      <w:pPr>
        <w:pStyle w:val="Nadpis7"/>
      </w:pPr>
      <w:r w:rsidRPr="00F72DCB">
        <w:t>Podmínky prostorového uspořádání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>respektovat podmínky prostorového uspořádání u navržených ploch v případě, že jsou definovány ve specifických podmínkách v kap. C)2. Vymezení zastavitelných ploch a kap. C)3. Vymezení ploch přestavby; místo podkroví je podmíněně přípustné další podlaží za podmínky, že bude řešeno vhodným architektonickým ztvárněním (např. ustupující podlaží…) a nedojde k narušení hodnot území</w:t>
      </w:r>
    </w:p>
    <w:p w:rsidR="00733CBD" w:rsidRPr="00FC7676" w:rsidRDefault="00733CBD" w:rsidP="00733CBD">
      <w:pPr>
        <w:pStyle w:val="Bezmezer"/>
        <w:numPr>
          <w:ilvl w:val="0"/>
          <w:numId w:val="6"/>
        </w:numPr>
        <w:rPr>
          <w:highlight w:val="yellow"/>
        </w:rPr>
      </w:pPr>
      <w:r w:rsidRPr="00FC7676">
        <w:rPr>
          <w:highlight w:val="yellow"/>
        </w:rPr>
        <w:t>ve stabilizovaných územích a plochách změn zohlednit výškovou hladinu okolní zástavby, maximálně však 4 NP + podkroví nebo další podlaží (5 NP) za podmínky, že bude řešeno vhodným architektonickým ztvárněním (např. ustupující podlaží…) a nedojde k narušení hodnot území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>v plochách, u kterých je stanoven požadavek na zhotovení územní studie, bude maximální výšková hladina zástavby upřesněna touto dokumentací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 xml:space="preserve">u bytových domů jsou </w:t>
      </w:r>
      <w:r w:rsidRPr="00F72DCB">
        <w:rPr>
          <w:i/>
        </w:rPr>
        <w:t>podmíněně přípustné</w:t>
      </w:r>
      <w:r w:rsidRPr="00F72DCB">
        <w:t xml:space="preserve"> střešní nástavby, pokud lze zajistit odpovídající počet parkovacích stání a pokud nedojde k narušení panoramatu města a hodnot území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>bude zachována kompaktnost bloků a uličních front (nevhodné demolice narušující hodnoty území jsou nepřípustné, zejména nároží)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>není přípustná výstavba nových staveb pro bydlení v zahradách stávajících rodinných domů bez přímého přístupu z veřejného prostranství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 xml:space="preserve">stavby </w:t>
      </w:r>
      <w:r w:rsidRPr="00F72DCB">
        <w:rPr>
          <w:u w:val="single"/>
        </w:rPr>
        <w:t>pro bydlení a individuální rekreaci</w:t>
      </w:r>
      <w:r w:rsidRPr="00F72DCB">
        <w:t xml:space="preserve"> situovat v minimální vzdálenosti 25 m od lesních pozemků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rPr>
          <w:szCs w:val="22"/>
        </w:rPr>
        <w:t xml:space="preserve">max. půdorysná plocha </w:t>
      </w:r>
      <w:r w:rsidRPr="00F72DCB">
        <w:t>stavby pro individuální rekreace činí 50 m</w:t>
      </w:r>
      <w:r w:rsidRPr="00F72DCB">
        <w:rPr>
          <w:vertAlign w:val="superscript"/>
        </w:rPr>
        <w:t>2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>pro plochy výroby a skladování a plochy smíšené výrobní platí že, objekty nesmí narušit obraz sídla a krajiny, preferovány budou horizontální hmoty, aby bylo zabráněno vzniku nežádoucích pohledových dominant v krajině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  <w:r w:rsidRPr="00F72DCB">
        <w:t xml:space="preserve">výstavba a rekonstrukce výškových staveb (např. větrných elektráren, rozhleden, průmyslových hal, venkovního vedení </w:t>
      </w:r>
      <w:proofErr w:type="spellStart"/>
      <w:r w:rsidRPr="00F72DCB">
        <w:t>vvn</w:t>
      </w:r>
      <w:proofErr w:type="spellEnd"/>
      <w:r w:rsidRPr="00F72DCB">
        <w:t xml:space="preserve"> a </w:t>
      </w:r>
      <w:proofErr w:type="spellStart"/>
      <w:r w:rsidRPr="00F72DCB">
        <w:t>vn</w:t>
      </w:r>
      <w:proofErr w:type="spellEnd"/>
      <w:r w:rsidRPr="00F72DCB">
        <w:t>, retranslačních stanic a základnových stanic mobilních operátorů a dále staveb dopravní infrastruktury) musí být předem projednána s Agenturou hospodaření s nemovitým majetkem Ministerstva obrany</w:t>
      </w:r>
    </w:p>
    <w:p w:rsidR="00733CBD" w:rsidRDefault="00733CBD" w:rsidP="00733CBD">
      <w:pPr>
        <w:pStyle w:val="Bezmezer"/>
        <w:numPr>
          <w:ilvl w:val="0"/>
          <w:numId w:val="6"/>
        </w:numPr>
      </w:pPr>
      <w:r w:rsidRPr="00F72DCB">
        <w:t>nepřípustné je rušení stávajících hřišť v plochách s rozdílným způsobem využití a zmenšování jejich plochy novou zástavbou</w:t>
      </w:r>
    </w:p>
    <w:p w:rsidR="00733CBD" w:rsidRPr="00F72DCB" w:rsidRDefault="00733CBD" w:rsidP="00733CBD">
      <w:pPr>
        <w:pStyle w:val="Nadpis7"/>
      </w:pPr>
      <w:r w:rsidRPr="00F72DCB">
        <w:t>Podmínky ochrany krajinného rázu</w:t>
      </w:r>
    </w:p>
    <w:p w:rsidR="00733CBD" w:rsidRPr="00F72DCB" w:rsidRDefault="00733CBD" w:rsidP="00733CBD">
      <w:pPr>
        <w:pStyle w:val="Bezmezer"/>
        <w:numPr>
          <w:ilvl w:val="0"/>
          <w:numId w:val="8"/>
        </w:numPr>
      </w:pPr>
      <w:r w:rsidRPr="00F72DCB">
        <w:t>respektovat podmínky ochrany hodnot a ochrany krajinného rázu, viz kap. B)2. Základní koncepce ochrany a rozvoje hodnot území</w:t>
      </w:r>
    </w:p>
    <w:p w:rsidR="00733CBD" w:rsidRPr="00F72DCB" w:rsidRDefault="00733CBD" w:rsidP="00733CBD">
      <w:pPr>
        <w:pStyle w:val="Bezmezer"/>
        <w:numPr>
          <w:ilvl w:val="0"/>
          <w:numId w:val="8"/>
        </w:numPr>
      </w:pPr>
      <w:r w:rsidRPr="00F72DCB">
        <w:t>přechod zástavby do krajiny musí respektovat podmínku, že zástavba navrhovaná na vnějších okrajích zastavěného území musí být situována vždy tak, aby do volného území byla orientována nezastavěná část stavebního pozemku; v případě, že to není možné, je nutno řešit přechod zástavby do krajiny ozeleněním</w:t>
      </w:r>
    </w:p>
    <w:p w:rsidR="00733CBD" w:rsidRPr="00F72DCB" w:rsidRDefault="00733CBD" w:rsidP="00733CBD">
      <w:pPr>
        <w:pStyle w:val="Bezmezer"/>
        <w:numPr>
          <w:ilvl w:val="0"/>
          <w:numId w:val="8"/>
        </w:numPr>
      </w:pPr>
      <w:r w:rsidRPr="00F72DCB">
        <w:t>stavby pro výrobu a skladování (výrobní a průmyslové objekty) a zemědělské stavby nesmí narušit obraz sídla a krajiny, preferovány budou horizontální hmoty, aby bylo zabráněno vzniku nežádoucích pohledových dominant v krajině; plochy pro výrobu a skladování a plochy smíšené výrobní, situované ve vazbě na krajinu, odclonit po obvodu izolační zelení</w:t>
      </w:r>
    </w:p>
    <w:p w:rsidR="00733CBD" w:rsidRPr="00F72DCB" w:rsidRDefault="00733CBD" w:rsidP="00733CBD">
      <w:pPr>
        <w:pStyle w:val="Nadpis2"/>
        <w:ind w:left="708" w:hanging="708"/>
      </w:pPr>
      <w:bookmarkStart w:id="6" w:name="_Toc410135325"/>
      <w:r w:rsidRPr="00F72DCB">
        <w:t>F)17.</w:t>
      </w:r>
      <w:r w:rsidRPr="00F72DCB">
        <w:tab/>
        <w:t>stanovení rozmezí výměry pro vymezování stavebních pozemků a intenzity jejich využití</w:t>
      </w:r>
      <w:bookmarkEnd w:id="6"/>
    </w:p>
    <w:p w:rsidR="00733CBD" w:rsidRPr="00F72DCB" w:rsidRDefault="00733CBD" w:rsidP="00733CBD">
      <w:pPr>
        <w:pStyle w:val="Bezmezer"/>
        <w:numPr>
          <w:ilvl w:val="0"/>
          <w:numId w:val="7"/>
        </w:numPr>
      </w:pPr>
      <w:r w:rsidRPr="00F72DCB">
        <w:t>v Boskovicích je stanoveno rozmezí výměry pro vymezování stavebních pozemků pro bydlení 600 – 1200 m</w:t>
      </w:r>
      <w:r w:rsidRPr="00F72DCB">
        <w:rPr>
          <w:vertAlign w:val="superscript"/>
        </w:rPr>
        <w:t xml:space="preserve">2 </w:t>
      </w:r>
      <w:r w:rsidRPr="00F72DCB">
        <w:t>(vyjma řadové zástavby)</w:t>
      </w:r>
    </w:p>
    <w:p w:rsidR="00733CBD" w:rsidRPr="00F72DCB" w:rsidRDefault="00733CBD" w:rsidP="00733CBD">
      <w:pPr>
        <w:pStyle w:val="Bezmezer"/>
        <w:numPr>
          <w:ilvl w:val="0"/>
          <w:numId w:val="7"/>
        </w:numPr>
      </w:pPr>
      <w:r w:rsidRPr="00F72DCB">
        <w:t>pro části Bačov, Hrádkov, Mladkov a Vratíkov je stanoveno rozmezí výměry pro vymezování stavebních pozemků pro bydlení 600 – 1800 m</w:t>
      </w:r>
      <w:r w:rsidRPr="00F72DCB">
        <w:rPr>
          <w:vertAlign w:val="superscript"/>
        </w:rPr>
        <w:t xml:space="preserve">2 </w:t>
      </w:r>
      <w:r w:rsidRPr="00F72DCB">
        <w:t>(vyjma řadové zástavby)</w:t>
      </w:r>
    </w:p>
    <w:p w:rsidR="00733CBD" w:rsidRPr="00FC7676" w:rsidRDefault="00733CBD" w:rsidP="00733CBD">
      <w:pPr>
        <w:pStyle w:val="Bezmezer"/>
        <w:numPr>
          <w:ilvl w:val="0"/>
          <w:numId w:val="7"/>
        </w:numPr>
        <w:rPr>
          <w:highlight w:val="yellow"/>
        </w:rPr>
      </w:pPr>
      <w:r w:rsidRPr="00FC7676">
        <w:rPr>
          <w:highlight w:val="yellow"/>
        </w:rPr>
        <w:t>intenzita využití pozemků v Boskovicích – zastavěná část včetně zpevněných ploch max. 30%</w:t>
      </w:r>
    </w:p>
    <w:p w:rsidR="00733CBD" w:rsidRPr="00F72DCB" w:rsidRDefault="00733CBD" w:rsidP="00733CBD">
      <w:pPr>
        <w:pStyle w:val="Bezmezer"/>
        <w:numPr>
          <w:ilvl w:val="0"/>
          <w:numId w:val="7"/>
        </w:numPr>
      </w:pPr>
      <w:r w:rsidRPr="00F72DCB">
        <w:t>intenzita využití pozemků pro části Bačov, Hrádkov, Mladkov a Vratíkov je stanovena – zastavěná část včetně zpevněných ploch max. 25%</w:t>
      </w:r>
    </w:p>
    <w:p w:rsidR="00733CBD" w:rsidRPr="00F72DCB" w:rsidRDefault="00733CBD" w:rsidP="00733CBD">
      <w:pPr>
        <w:pStyle w:val="Bezmezer"/>
        <w:numPr>
          <w:ilvl w:val="0"/>
          <w:numId w:val="7"/>
        </w:numPr>
      </w:pPr>
      <w:r w:rsidRPr="00F72DCB">
        <w:t>u ploch výrobních bude minimálně 20% plochy změny tvořit zeleň</w:t>
      </w:r>
    </w:p>
    <w:p w:rsidR="00733CBD" w:rsidRPr="00F72DCB" w:rsidRDefault="00733CBD" w:rsidP="00733CBD">
      <w:pPr>
        <w:pStyle w:val="Bezmezer"/>
        <w:numPr>
          <w:ilvl w:val="0"/>
          <w:numId w:val="7"/>
        </w:numPr>
      </w:pPr>
      <w:r w:rsidRPr="00F72DCB">
        <w:t>pro ostatní plochy změn v území není stanovena</w:t>
      </w:r>
    </w:p>
    <w:p w:rsidR="00733CBD" w:rsidRPr="00F72DCB" w:rsidRDefault="00733CBD" w:rsidP="00733CBD">
      <w:pPr>
        <w:pStyle w:val="Bezmezer"/>
        <w:numPr>
          <w:ilvl w:val="0"/>
          <w:numId w:val="6"/>
        </w:numPr>
      </w:pPr>
    </w:p>
    <w:p w:rsidR="00733CBD" w:rsidRDefault="00733CBD"/>
    <w:sectPr w:rsidR="00733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15FA"/>
    <w:multiLevelType w:val="hybridMultilevel"/>
    <w:tmpl w:val="936E6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D063C"/>
    <w:multiLevelType w:val="hybridMultilevel"/>
    <w:tmpl w:val="B0AA05DE"/>
    <w:lvl w:ilvl="0" w:tplc="2DDCD1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New York" w:hAnsi="Arial Narro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4C2462B"/>
    <w:multiLevelType w:val="hybridMultilevel"/>
    <w:tmpl w:val="5AA4A746"/>
    <w:lvl w:ilvl="0" w:tplc="2DDCD1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New York" w:hAnsi="Arial Narrow" w:cs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C447A2"/>
    <w:multiLevelType w:val="hybridMultilevel"/>
    <w:tmpl w:val="E93C4C2C"/>
    <w:lvl w:ilvl="0" w:tplc="2DDCD1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Courier New" w:hint="default"/>
      </w:rPr>
    </w:lvl>
    <w:lvl w:ilvl="1" w:tplc="AB3811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51B3BEA"/>
    <w:multiLevelType w:val="hybridMultilevel"/>
    <w:tmpl w:val="6AA0F0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4F2157"/>
    <w:multiLevelType w:val="hybridMultilevel"/>
    <w:tmpl w:val="8404F66C"/>
    <w:lvl w:ilvl="0" w:tplc="2DDCD1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New York" w:hAnsi="Arial Narro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1F22F6E"/>
    <w:multiLevelType w:val="hybridMultilevel"/>
    <w:tmpl w:val="B93A92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38"/>
    <w:rsid w:val="001C6FC7"/>
    <w:rsid w:val="00682238"/>
    <w:rsid w:val="00733CBD"/>
    <w:rsid w:val="00FC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733CBD"/>
    <w:pPr>
      <w:keepNext/>
      <w:spacing w:before="360" w:after="60" w:line="240" w:lineRule="atLeast"/>
      <w:jc w:val="both"/>
      <w:outlineLvl w:val="1"/>
    </w:pPr>
    <w:rPr>
      <w:rFonts w:ascii="Arial Narrow" w:eastAsia="Times New Roman" w:hAnsi="Arial Narrow" w:cs="Times New Roman"/>
      <w:b/>
      <w:caps/>
      <w:sz w:val="26"/>
      <w:szCs w:val="20"/>
      <w:lang w:eastAsia="cs-CZ"/>
    </w:rPr>
  </w:style>
  <w:style w:type="paragraph" w:styleId="Nadpis3">
    <w:name w:val="heading 3"/>
    <w:aliases w:val="Nadpis 3 Char Char Char Char, Char,Nadpis 3 Char Char Char,B.I.1. Název záměru"/>
    <w:basedOn w:val="Normln"/>
    <w:next w:val="Normln"/>
    <w:link w:val="Nadpis3Char"/>
    <w:qFormat/>
    <w:rsid w:val="00733CBD"/>
    <w:pPr>
      <w:keepNext/>
      <w:spacing w:before="240" w:after="60" w:line="240" w:lineRule="atLeast"/>
      <w:jc w:val="both"/>
      <w:outlineLvl w:val="2"/>
    </w:pPr>
    <w:rPr>
      <w:rFonts w:ascii="Arial Narrow" w:eastAsia="Times New Roman" w:hAnsi="Arial Narrow" w:cs="Times New Roman"/>
      <w:b/>
      <w:caps/>
      <w:sz w:val="24"/>
      <w:szCs w:val="20"/>
      <w:u w:val="single"/>
      <w:lang w:eastAsia="cs-CZ"/>
    </w:rPr>
  </w:style>
  <w:style w:type="paragraph" w:styleId="Nadpis7">
    <w:name w:val="heading 7"/>
    <w:aliases w:val="Nadpis 7 Char Char Char,Nadpis 71,Nadpis 7 Char Char1"/>
    <w:basedOn w:val="Normln"/>
    <w:next w:val="Normln"/>
    <w:link w:val="Nadpis7Char"/>
    <w:qFormat/>
    <w:rsid w:val="00733CBD"/>
    <w:pPr>
      <w:spacing w:before="80" w:after="40" w:line="240" w:lineRule="atLeast"/>
      <w:jc w:val="both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CBD"/>
    <w:rPr>
      <w:rFonts w:ascii="Tahoma" w:hAnsi="Tahoma" w:cs="Tahoma"/>
      <w:sz w:val="16"/>
      <w:szCs w:val="16"/>
    </w:rPr>
  </w:style>
  <w:style w:type="paragraph" w:customStyle="1" w:styleId="tabulka">
    <w:name w:val="tabulka"/>
    <w:basedOn w:val="Normln"/>
    <w:next w:val="Normln"/>
    <w:link w:val="tabulkaChar"/>
    <w:rsid w:val="00733CBD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tabulkaChar">
    <w:name w:val="tabulka Char"/>
    <w:link w:val="tabulka"/>
    <w:rsid w:val="00733CBD"/>
    <w:rPr>
      <w:rFonts w:ascii="Arial Narrow" w:eastAsia="Times New Roman" w:hAnsi="Arial Narrow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733CBD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733CBD"/>
    <w:rPr>
      <w:rFonts w:ascii="Arial Narrow" w:eastAsia="Times New Roman" w:hAnsi="Arial Narrow" w:cs="Times New Roman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33CBD"/>
    <w:rPr>
      <w:rFonts w:ascii="Arial Narrow" w:eastAsia="Times New Roman" w:hAnsi="Arial Narrow" w:cs="Times New Roman"/>
      <w:b/>
      <w:caps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33CBD"/>
    <w:rPr>
      <w:rFonts w:ascii="Arial Narrow" w:eastAsia="Times New Roman" w:hAnsi="Arial Narrow" w:cs="Times New Roman"/>
      <w:b/>
      <w:caps/>
      <w:sz w:val="24"/>
      <w:szCs w:val="20"/>
      <w:u w:val="single"/>
      <w:lang w:eastAsia="cs-CZ"/>
    </w:rPr>
  </w:style>
  <w:style w:type="character" w:customStyle="1" w:styleId="Nadpis7Char">
    <w:name w:val="Nadpis 7 Char"/>
    <w:aliases w:val="Nadpis 7 Char Char Char Char,Nadpis 71 Char,Nadpis 7 Char Char1 Char"/>
    <w:basedOn w:val="Standardnpsmoodstavce"/>
    <w:link w:val="Nadpis7"/>
    <w:rsid w:val="00733CBD"/>
    <w:rPr>
      <w:rFonts w:ascii="Arial Narrow" w:eastAsia="Times New Roman" w:hAnsi="Arial Narrow" w:cs="Times New Roman"/>
      <w:cap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733CBD"/>
    <w:pPr>
      <w:keepNext/>
      <w:spacing w:before="360" w:after="60" w:line="240" w:lineRule="atLeast"/>
      <w:jc w:val="both"/>
      <w:outlineLvl w:val="1"/>
    </w:pPr>
    <w:rPr>
      <w:rFonts w:ascii="Arial Narrow" w:eastAsia="Times New Roman" w:hAnsi="Arial Narrow" w:cs="Times New Roman"/>
      <w:b/>
      <w:caps/>
      <w:sz w:val="26"/>
      <w:szCs w:val="20"/>
      <w:lang w:eastAsia="cs-CZ"/>
    </w:rPr>
  </w:style>
  <w:style w:type="paragraph" w:styleId="Nadpis3">
    <w:name w:val="heading 3"/>
    <w:aliases w:val="Nadpis 3 Char Char Char Char, Char,Nadpis 3 Char Char Char,B.I.1. Název záměru"/>
    <w:basedOn w:val="Normln"/>
    <w:next w:val="Normln"/>
    <w:link w:val="Nadpis3Char"/>
    <w:qFormat/>
    <w:rsid w:val="00733CBD"/>
    <w:pPr>
      <w:keepNext/>
      <w:spacing w:before="240" w:after="60" w:line="240" w:lineRule="atLeast"/>
      <w:jc w:val="both"/>
      <w:outlineLvl w:val="2"/>
    </w:pPr>
    <w:rPr>
      <w:rFonts w:ascii="Arial Narrow" w:eastAsia="Times New Roman" w:hAnsi="Arial Narrow" w:cs="Times New Roman"/>
      <w:b/>
      <w:caps/>
      <w:sz w:val="24"/>
      <w:szCs w:val="20"/>
      <w:u w:val="single"/>
      <w:lang w:eastAsia="cs-CZ"/>
    </w:rPr>
  </w:style>
  <w:style w:type="paragraph" w:styleId="Nadpis7">
    <w:name w:val="heading 7"/>
    <w:aliases w:val="Nadpis 7 Char Char Char,Nadpis 71,Nadpis 7 Char Char1"/>
    <w:basedOn w:val="Normln"/>
    <w:next w:val="Normln"/>
    <w:link w:val="Nadpis7Char"/>
    <w:qFormat/>
    <w:rsid w:val="00733CBD"/>
    <w:pPr>
      <w:spacing w:before="80" w:after="40" w:line="240" w:lineRule="atLeast"/>
      <w:jc w:val="both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CBD"/>
    <w:rPr>
      <w:rFonts w:ascii="Tahoma" w:hAnsi="Tahoma" w:cs="Tahoma"/>
      <w:sz w:val="16"/>
      <w:szCs w:val="16"/>
    </w:rPr>
  </w:style>
  <w:style w:type="paragraph" w:customStyle="1" w:styleId="tabulka">
    <w:name w:val="tabulka"/>
    <w:basedOn w:val="Normln"/>
    <w:next w:val="Normln"/>
    <w:link w:val="tabulkaChar"/>
    <w:rsid w:val="00733CBD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tabulkaChar">
    <w:name w:val="tabulka Char"/>
    <w:link w:val="tabulka"/>
    <w:rsid w:val="00733CBD"/>
    <w:rPr>
      <w:rFonts w:ascii="Arial Narrow" w:eastAsia="Times New Roman" w:hAnsi="Arial Narrow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733CBD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733CBD"/>
    <w:rPr>
      <w:rFonts w:ascii="Arial Narrow" w:eastAsia="Times New Roman" w:hAnsi="Arial Narrow" w:cs="Times New Roman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33CBD"/>
    <w:rPr>
      <w:rFonts w:ascii="Arial Narrow" w:eastAsia="Times New Roman" w:hAnsi="Arial Narrow" w:cs="Times New Roman"/>
      <w:b/>
      <w:caps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33CBD"/>
    <w:rPr>
      <w:rFonts w:ascii="Arial Narrow" w:eastAsia="Times New Roman" w:hAnsi="Arial Narrow" w:cs="Times New Roman"/>
      <w:b/>
      <w:caps/>
      <w:sz w:val="24"/>
      <w:szCs w:val="20"/>
      <w:u w:val="single"/>
      <w:lang w:eastAsia="cs-CZ"/>
    </w:rPr>
  </w:style>
  <w:style w:type="character" w:customStyle="1" w:styleId="Nadpis7Char">
    <w:name w:val="Nadpis 7 Char"/>
    <w:aliases w:val="Nadpis 7 Char Char Char Char,Nadpis 71 Char,Nadpis 7 Char Char1 Char"/>
    <w:basedOn w:val="Standardnpsmoodstavce"/>
    <w:link w:val="Nadpis7"/>
    <w:rsid w:val="00733CBD"/>
    <w:rPr>
      <w:rFonts w:ascii="Arial Narrow" w:eastAsia="Times New Roman" w:hAnsi="Arial Narrow" w:cs="Times New Roman"/>
      <w:cap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997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Štulpa Milan</dc:creator>
  <cp:keywords/>
  <dc:description/>
  <cp:lastModifiedBy/>
  <cp:revision>1</cp:revision>
  <dcterms:created xsi:type="dcterms:W3CDTF">2015-11-18T08:13:00Z</dcterms:created>
</cp:coreProperties>
</file>